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CIENCE Services Addendum</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5% platform fee on SDR compensation. Client pays after services are delivered, not prepaid.</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platform fee) are invoiced at month-end after services are delivered. See §3.6.9.2 for SDR cost examples including commission.</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platform fee —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platform fee (5% of base + commission). Examples:</w:t>
      </w:r>
    </w:p>
    <w:p>
      <w:pPr>
        <w:spacing w:lineRule="auto"/>
      </w:pPr>
      <w:r>
        <w:rPr/>
        <w:t xml:space="preserve">US SDR 2 at target performance (10 appointments/month at $260/appointment): $2,600 base + $2,600 commission + $260 platform fee = $5,460/month</w:t>
      </w:r>
    </w:p>
    <w:p>
      <w:pPr>
        <w:spacing w:lineRule="auto"/>
      </w:pPr>
      <w:r>
        <w:rPr/>
        <w:t xml:space="preserve">US SDR 2 minimum cost (no appointments): $2,600 base + $130 platform fee = $2,730/month</w:t>
      </w:r>
    </w:p>
    <w:p>
      <w:pPr>
        <w:spacing w:lineRule="auto"/>
      </w:pPr>
      <w:r>
        <w:rPr/>
        <w:t xml:space="preserve">Offshore SDR 1 at target performance (8 appointments/month at $125/appointment): $1,000 base + $1,000 commission + $100 platform fee = $2,100/month</w:t>
      </w:r>
    </w:p>
    <w:p>
      <w:pPr>
        <w:spacing w:lineRule="auto"/>
      </w:pPr>
      <w:r>
        <w:rPr/>
        <w:t xml:space="preserve">Offshore SDR 1 minimum cost (no appointments): $1,000 base + $50 platform fee = $1,050/month</w:t>
      </w:r>
    </w:p>
    <w:p>
      <w:pPr>
        <w:spacing w:lineRule="auto"/>
      </w:pPr>
      <w:r>
        <w:rPr>
          <w:b/>
        </w:rPr>
        <w:t xml:space="preserve">3.6.10 Platform Fee &amp; Payment Processing.</w:t>
      </w:r>
      <w:r>
        <w:rPr/>
        <w:t xml:space="preserve"> graph8 charges Client a 5% platform fee on total SDR compensation (base + commission). This fee is added to the SDR invoice amount. For example, if an SDR invoice totals $3,000 (base + commission), Client pays $3,150 ($3,000 to SDR + $150 platform fee to graph8).</w:t>
      </w:r>
    </w:p>
    <w:p>
      <w:pPr>
        <w:spacing w:lineRule="auto"/>
      </w:pPr>
      <w:r>
        <w:rPr>
          <w:b/>
        </w:rPr>
        <w:t xml:space="preserve">3.6.10.1 No Margin on SDR Payments.</w:t>
      </w:r>
      <w:r>
        <w:rPr/>
        <w:t xml:space="preserve"> CIENCE/graph8 does not make any margin or profit on SDR base compensation or commission payments. The 5% platform fee covers payment processing, platform infrastructure, marketplace operations, and administrative costs only. SDR compensation (base + commission) is passed through to SDRs at cost — Client pays the SDR directly through graph8's payment provider, and graph8 receives only the 5% platform fee for facilitating the transaction.</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&amp; Recording.</w:t>
      </w:r>
      <w:r>
        <w:rPr/>
        <w:t xml:space="preserve"> Client will comply with TCPA, TSR, state analogs, local DNC, A2P 10DLC registration, STIR/SHAKEN, and all call-recording/consent laws (including two-party consent jurisdictions). Client authorizes Provider to provision numbers and register brands/campaigns on Client's behalf, where needed.</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