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Machine Learning.</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However, (a) Usage Data and Customer Content must be aggregated before it can be used for these purposes, and (b) Provider will use commercially reasonable efforts consistent with industry standard technology to de-identify Usage Data and Customer Content before such use. Nothing in this section will reduce or limit Provider's obligations regarding Personal Data that may be contained in Usage Data or Customer Content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Usage Deductions and B2B Data Enrichment Credits</w:t>
      </w:r>
      <w:r>
        <w:rPr/>
        <w:t xml:space="preserve"> a) Both voice AI usage (per minute) and B2B data enrichment credits will be deducted from the same Prepaid Account or charged to the same Credit Card on File. b) For B2B data enrichment services, Customer purchases credits that can be applied to any third-party provider available on the graph8 platform. c) Each credit has a specific price as defined in the Order Form or current pricing schedule. d) Credits are deducted when used through a credit transaction on the platform, which can include phone number enrichment, contact data enrichment, or any other data addition enrichment. e) graph8 will provide the number of credits needed for each enrichment in the user interface for the Customer to approve during the request. f) Unused credits do not expire unless otherwise specified in the Order Form. g) Credit usage, voice AI usage, and account balance will be viewable in the Customer's account dashboard.</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