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Data Processing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 Anthropic, Country of Location: USA, Anticipated Processing Task: Natural Language Processing; OpenAI, Country of Location: USA, Anticipated Processing Task: Natural Language Processing</w:t>
      </w:r>
    </w:p>
    <w:p>
      <w:pPr>
        <w:spacing w:lineRule="auto"/>
      </w:pPr>
      <w:r>
        <w:rPr>
          <w:b/>
        </w:rPr>
        <w:t xml:space="preserve">2.7 Agency Partners and Data Processing.</w:t>
      </w:r>
      <w:r>
        <w:rPr/>
        <w:t xml:space="preserve"> Agency Partners (call centers, staffing agencies, and similar organizations that provide SDR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